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color w:val="E85A4F"/>
          <w:sz w:val="22"/>
          <w:szCs w:val="22"/>
        </w:rPr>
        <w:t xml:space="preserve">ACTIVATEUR FORMATION</w:t>
      </w:r>
    </w:p>
    <w:p>
      <w:pPr>
        <w:spacing w:after="1200"/>
      </w:pPr>
      <w:r>
        <w:rPr>
          <w:color w:val="6B7280"/>
          <w:sz w:val="20"/>
          <w:szCs w:val="20"/>
        </w:rPr>
        <w:t xml:space="preserve">Observatoire LMS</w:t>
      </w:r>
    </w:p>
    <w:p>
      <w:pPr>
        <w:spacing w:after="200"/>
      </w:pPr>
      <w:r>
        <w:rPr>
          <w:b/>
          <w:bCs/>
          <w:color w:val="0B1E3F"/>
          <w:sz w:val="60"/>
          <w:szCs w:val="60"/>
        </w:rPr>
        <w:t xml:space="preserve">Cahier des charges LMS</w:t>
      </w:r>
    </w:p>
    <w:p>
      <w:pPr>
        <w:spacing w:after="1400"/>
      </w:pPr>
      <w:r>
        <w:rPr>
          <w:color w:val="6B7280"/>
          <w:sz w:val="28"/>
          <w:szCs w:val="28"/>
        </w:rPr>
        <w:t xml:space="preserve">Modèle complet à personnaliser</w:t>
      </w:r>
    </w:p>
    <w:p>
      <w:r>
        <w:rPr>
          <w:i/>
          <w:iCs/>
          <w:color w:val="6B7280"/>
          <w:sz w:val="18"/>
          <w:szCs w:val="18"/>
        </w:rPr>
        <w:t xml:space="preserve">Édition 2026 · Document de travail</w:t>
      </w:r>
    </w:p>
    <w:p>
      <w:pPr>
        <w:spacing w:before="80"/>
      </w:pPr>
      <w:r>
        <w:rPr>
          <w:b/>
          <w:bCs/>
          <w:color w:val="E85A4F"/>
          <w:sz w:val="18"/>
          <w:szCs w:val="18"/>
        </w:rPr>
        <w:t xml:space="preserve">lms.activateur-formation.com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B1E3F"/>
        </w:rPr>
        <w:t xml:space="preserve">Mode d'emploi</w:t>
      </w:r>
    </w:p>
    <w:p>
      <w:pPr>
        <w:spacing w:after="120"/>
      </w:pPr>
      <w:r>
        <w:t xml:space="preserve">Ce cahier des charges est un modèle. Il couvre les sections attendues par 95 % des éditeurs LMS sérieux : contexte, périmètre, exigences fonctionnelles, techniques, sécurité, intégration, accompagnement, budget et planning.</w:t>
      </w:r>
    </w:p>
    <w:p>
      <w:pPr>
        <w:spacing w:after="120"/>
      </w:pPr>
      <w:r>
        <w:t xml:space="preserve">Trois règles d'usage 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Supprimez ce qui ne s'applique pas. Un cahier des charges trop long fait fuir les bons éditeurs.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Pondérez vos exigences (Must / Should / Could). Sans pondération, tout devient prioritaire — donc rien ne l'est.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Joignez la grille d'évaluation pondérée pour homogénéiser les réponses. Téléchargeable sur lms.activateur-formation.com/ressources.</w:t>
      </w:r>
    </w:p>
    <w:p>
      <w:pPr>
        <w:spacing w:after="120"/>
      </w:pPr>
      <w:r>
        <w:t xml:space="preserve">Besoin d'aide ? Activateur Formation est courtier indépendant : nous challengeons votre cahier des charges et pilotons l'appel d'offres avec vous.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B1E3F"/>
        </w:rPr>
        <w:t xml:space="preserve">1. Présentation de l'organisation</w:t>
      </w:r>
    </w:p>
    <w:p>
      <w:pPr>
        <w:pStyle w:val="Heading2"/>
        <w:spacing w:after="140" w:before="280"/>
      </w:pPr>
      <w:r>
        <w:rPr>
          <w:b/>
          <w:bCs/>
          <w:color w:val="0B1E3F"/>
        </w:rPr>
        <w:t xml:space="preserve">1.1 Identité</w:t>
      </w:r>
    </w:p>
    <w:p>
      <w:pPr>
        <w:spacing w:after="60" w:before="120"/>
      </w:pPr>
      <w:r>
        <w:rPr>
          <w:b/>
          <w:bCs/>
          <w:color w:val="0B1E3F"/>
        </w:rPr>
        <w:t xml:space="preserve">Raison sociale</w:t>
      </w:r>
    </w:p>
    <w:p>
      <w:pPr>
        <w:pBdr>
          <w:bottom w:val="single" w:color="D1D5DB" w:sz="4" w:space="6"/>
        </w:pBdr>
        <w:spacing w:after="160"/>
      </w:pPr>
      <w:r>
        <w:rPr>
          <w:i/>
          <w:iCs/>
          <w:color w:val="6B7280"/>
        </w:rPr>
        <w:t xml:space="preserve">[ à compléter ]</w:t>
      </w:r>
    </w:p>
    <w:p>
      <w:pPr>
        <w:spacing w:after="60" w:before="120"/>
      </w:pPr>
      <w:r>
        <w:rPr>
          <w:b/>
          <w:bCs/>
          <w:color w:val="0B1E3F"/>
        </w:rPr>
        <w:t xml:space="preserve">Effectif total</w:t>
      </w:r>
    </w:p>
    <w:p>
      <w:pPr>
        <w:pBdr>
          <w:bottom w:val="single" w:color="D1D5DB" w:sz="4" w:space="6"/>
        </w:pBdr>
        <w:spacing w:after="160"/>
      </w:pPr>
      <w:r>
        <w:rPr>
          <w:i/>
          <w:iCs/>
          <w:color w:val="6B7280"/>
        </w:rPr>
        <w:t xml:space="preserve">[ à compléter ]</w:t>
      </w:r>
    </w:p>
    <w:p>
      <w:pPr>
        <w:spacing w:after="60" w:before="120"/>
      </w:pPr>
      <w:r>
        <w:rPr>
          <w:b/>
          <w:bCs/>
          <w:color w:val="0B1E3F"/>
        </w:rPr>
        <w:t xml:space="preserve">Effectif concerné par le LMS</w:t>
      </w:r>
    </w:p>
    <w:p>
      <w:pPr>
        <w:pBdr>
          <w:bottom w:val="single" w:color="D1D5DB" w:sz="4" w:space="6"/>
        </w:pBdr>
        <w:spacing w:after="160"/>
      </w:pPr>
      <w:r>
        <w:rPr>
          <w:i/>
          <w:iCs/>
          <w:color w:val="6B7280"/>
        </w:rPr>
        <w:t xml:space="preserve">[ à compléter ]</w:t>
      </w:r>
    </w:p>
    <w:p>
      <w:pPr>
        <w:spacing w:after="60" w:before="120"/>
      </w:pPr>
      <w:r>
        <w:rPr>
          <w:b/>
          <w:bCs/>
          <w:color w:val="0B1E3F"/>
        </w:rPr>
        <w:t xml:space="preserve">Secteur d'activité</w:t>
      </w:r>
    </w:p>
    <w:p>
      <w:pPr>
        <w:pBdr>
          <w:bottom w:val="single" w:color="D1D5DB" w:sz="4" w:space="6"/>
        </w:pBdr>
        <w:spacing w:after="160"/>
      </w:pPr>
      <w:r>
        <w:rPr>
          <w:i/>
          <w:iCs/>
          <w:color w:val="6B7280"/>
        </w:rPr>
        <w:t xml:space="preserve">[ à compléter ]</w:t>
      </w:r>
    </w:p>
    <w:p>
      <w:pPr>
        <w:spacing w:after="60" w:before="120"/>
      </w:pPr>
      <w:r>
        <w:rPr>
          <w:b/>
          <w:bCs/>
          <w:color w:val="0B1E3F"/>
        </w:rPr>
        <w:t xml:space="preserve">Implantations géographiques</w:t>
      </w:r>
    </w:p>
    <w:p>
      <w:pPr>
        <w:pBdr>
          <w:bottom w:val="single" w:color="D1D5DB" w:sz="4" w:space="6"/>
        </w:pBdr>
        <w:spacing w:after="160"/>
      </w:pPr>
      <w:r>
        <w:rPr>
          <w:i/>
          <w:iCs/>
          <w:color w:val="6B7280"/>
        </w:rPr>
        <w:t xml:space="preserve">Pays / langues à couvrir</w:t>
      </w:r>
    </w:p>
    <w:p>
      <w:pPr>
        <w:pStyle w:val="Heading2"/>
        <w:spacing w:after="140" w:before="280"/>
      </w:pPr>
      <w:r>
        <w:rPr>
          <w:b/>
          <w:bCs/>
          <w:color w:val="0B1E3F"/>
        </w:rPr>
        <w:t xml:space="preserve">1.2 Contexte du projet</w:t>
      </w:r>
    </w:p>
    <w:p>
      <w:pPr>
        <w:spacing w:after="60" w:before="120"/>
      </w:pPr>
      <w:r>
        <w:rPr>
          <w:b/>
          <w:bCs/>
          <w:color w:val="0B1E3F"/>
        </w:rPr>
        <w:t xml:space="preserve">Situation actuelle</w:t>
      </w:r>
    </w:p>
    <w:p>
      <w:pPr>
        <w:pBdr>
          <w:bottom w:val="single" w:color="D1D5DB" w:sz="4" w:space="6"/>
        </w:pBdr>
        <w:spacing w:after="160"/>
      </w:pPr>
      <w:r>
        <w:rPr>
          <w:i/>
          <w:iCs/>
          <w:color w:val="6B7280"/>
        </w:rPr>
        <w:t xml:space="preserve">LMS existant, outils de classe virtuelle, processus formation actuels</w:t>
      </w:r>
    </w:p>
    <w:p>
      <w:pPr>
        <w:spacing w:after="60" w:before="120"/>
      </w:pPr>
      <w:r>
        <w:rPr>
          <w:b/>
          <w:bCs/>
          <w:color w:val="0B1E3F"/>
        </w:rPr>
        <w:t xml:space="preserve">Déclencheur du projet</w:t>
      </w:r>
    </w:p>
    <w:p>
      <w:pPr>
        <w:pBdr>
          <w:bottom w:val="single" w:color="D1D5DB" w:sz="4" w:space="6"/>
        </w:pBdr>
        <w:spacing w:after="160"/>
      </w:pPr>
      <w:r>
        <w:rPr>
          <w:i/>
          <w:iCs/>
          <w:color w:val="6B7280"/>
        </w:rPr>
        <w:t xml:space="preserve">Fin de contrat, fusion, refonte L&amp;D, scale-up, etc.</w:t>
      </w:r>
    </w:p>
    <w:p>
      <w:pPr>
        <w:spacing w:after="60" w:before="120"/>
      </w:pPr>
      <w:r>
        <w:rPr>
          <w:b/>
          <w:bCs/>
          <w:color w:val="0B1E3F"/>
        </w:rPr>
        <w:t xml:space="preserve">Sponsor &amp; comité de pilotage</w:t>
      </w:r>
    </w:p>
    <w:p>
      <w:pPr>
        <w:pBdr>
          <w:bottom w:val="single" w:color="D1D5DB" w:sz="4" w:space="6"/>
        </w:pBdr>
        <w:spacing w:after="160"/>
      </w:pPr>
      <w:r>
        <w:rPr>
          <w:i/>
          <w:iCs/>
          <w:color w:val="6B7280"/>
        </w:rPr>
        <w:t xml:space="preserve">[ à compléter ]</w:t>
      </w:r>
    </w:p>
    <w:p>
      <w:pPr>
        <w:spacing w:after="60" w:before="120"/>
      </w:pPr>
      <w:r>
        <w:rPr>
          <w:b/>
          <w:bCs/>
          <w:color w:val="0B1E3F"/>
        </w:rPr>
        <w:t xml:space="preserve">Date cible de mise en production</w:t>
      </w:r>
    </w:p>
    <w:p>
      <w:pPr>
        <w:pBdr>
          <w:bottom w:val="single" w:color="D1D5DB" w:sz="4" w:space="6"/>
        </w:pBdr>
        <w:spacing w:after="160"/>
      </w:pPr>
      <w:r>
        <w:rPr>
          <w:i/>
          <w:iCs/>
          <w:color w:val="6B7280"/>
        </w:rPr>
        <w:t xml:space="preserve">[ à compléter ]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B1E3F"/>
        </w:rPr>
        <w:t xml:space="preserve">2. Périmètre &amp; objectifs</w:t>
      </w:r>
    </w:p>
    <w:p>
      <w:pPr>
        <w:pStyle w:val="Heading2"/>
        <w:spacing w:after="140" w:before="280"/>
      </w:pPr>
      <w:r>
        <w:rPr>
          <w:b/>
          <w:bCs/>
          <w:color w:val="0B1E3F"/>
        </w:rPr>
        <w:t xml:space="preserve">2.1 Populations cibles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080"/>
        <w:gridCol w:w="2080"/>
        <w:gridCol w:w="2080"/>
      </w:tblGrid>
      <w:t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Population</w:t>
            </w:r>
          </w:p>
        </w:tc>
        <w:tc>
          <w:tcPr>
            <w:tcW w:type="dxa" w:w="20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Volume</w:t>
            </w:r>
          </w:p>
        </w:tc>
        <w:tc>
          <w:tcPr>
            <w:tcW w:type="dxa" w:w="20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Langues</w:t>
            </w:r>
          </w:p>
        </w:tc>
        <w:tc>
          <w:tcPr>
            <w:tcW w:type="dxa" w:w="20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Mode d'accès</w:t>
            </w:r>
          </w:p>
        </w:tc>
      </w:tr>
      <w:t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Salariés siège</w:t>
            </w:r>
          </w:p>
        </w:tc>
        <w:tc>
          <w:tcPr>
            <w:tcW w:type="dxa" w:w="20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  <w:tc>
          <w:tcPr>
            <w:tcW w:type="dxa" w:w="20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  <w:tc>
          <w:tcPr>
            <w:tcW w:type="dxa" w:w="20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SSO</w:t>
            </w:r>
          </w:p>
        </w:tc>
      </w:tr>
      <w:t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Salariés terrain / mobile</w:t>
            </w:r>
          </w:p>
        </w:tc>
        <w:tc>
          <w:tcPr>
            <w:tcW w:type="dxa" w:w="20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  <w:tc>
          <w:tcPr>
            <w:tcW w:type="dxa" w:w="20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  <w:tc>
          <w:tcPr>
            <w:tcW w:type="dxa" w:w="20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App mobile</w:t>
            </w:r>
          </w:p>
        </w:tc>
      </w:tr>
      <w:t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Managers</w:t>
            </w:r>
          </w:p>
        </w:tc>
        <w:tc>
          <w:tcPr>
            <w:tcW w:type="dxa" w:w="20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  <w:tc>
          <w:tcPr>
            <w:tcW w:type="dxa" w:w="20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  <w:tc>
          <w:tcPr>
            <w:tcW w:type="dxa" w:w="20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Externes (clients, partenaires)</w:t>
            </w:r>
          </w:p>
        </w:tc>
        <w:tc>
          <w:tcPr>
            <w:tcW w:type="dxa" w:w="20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  <w:tc>
          <w:tcPr>
            <w:tcW w:type="dxa" w:w="20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  <w:tc>
          <w:tcPr>
            <w:tcW w:type="dxa" w:w="20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Magic link</w:t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B1E3F"/>
        </w:rPr>
        <w:t xml:space="preserve">2.2 Cas d'usage prioritaires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Onboarding nouveaux entrants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Conformité réglementaire (sécurité, RGPD, anti-corruption…)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Montée en compétences métier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Parcours managériaux &amp; leadership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Formation client / partenaires (extended enterprise)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Autre : ____________________________</w:t>
      </w:r>
    </w:p>
    <w:p>
      <w:pPr>
        <w:pStyle w:val="Heading2"/>
        <w:spacing w:after="140" w:before="280"/>
      </w:pPr>
      <w:r>
        <w:rPr>
          <w:b/>
          <w:bCs/>
          <w:color w:val="0B1E3F"/>
        </w:rPr>
        <w:t xml:space="preserve">2.3 Objectifs mesurables</w:t>
      </w:r>
    </w:p>
    <w:p>
      <w:pPr>
        <w:spacing w:after="60" w:before="120"/>
      </w:pPr>
      <w:r>
        <w:rPr>
          <w:b/>
          <w:bCs/>
          <w:color w:val="0B1E3F"/>
        </w:rPr>
        <w:t xml:space="preserve">KPIs à 12 mois</w:t>
      </w:r>
    </w:p>
    <w:p>
      <w:pPr>
        <w:pBdr>
          <w:bottom w:val="single" w:color="D1D5DB" w:sz="4" w:space="6"/>
        </w:pBdr>
        <w:spacing w:after="160"/>
      </w:pPr>
      <w:r>
        <w:rPr>
          <w:i/>
          <w:iCs/>
          <w:color w:val="6B7280"/>
        </w:rPr>
        <w:t xml:space="preserve">Ex : 90 % de complétion onboarding, NPS apprenant &gt; 40, -20 % coût par heure formée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B1E3F"/>
        </w:rPr>
        <w:t xml:space="preserve">3. Exigences fonctionnelles</w:t>
      </w:r>
    </w:p>
    <w:p>
      <w:pPr>
        <w:spacing w:after="120"/>
      </w:pPr>
      <w:r>
        <w:rPr>
          <w:i/>
          <w:iCs/>
          <w:color w:val="6B7280"/>
        </w:rPr>
        <w:t xml:space="preserve">Pondération : M = Must have (bloquant), S = Should have (important), C = Could have (bonus).</w:t>
      </w:r>
    </w:p>
    <w:p>
      <w:pPr>
        <w:pStyle w:val="Heading2"/>
        <w:spacing w:after="140" w:before="280"/>
      </w:pPr>
      <w:r>
        <w:rPr>
          <w:b/>
          <w:bCs/>
          <w:color w:val="0B1E3F"/>
        </w:rPr>
        <w:t xml:space="preserve">3.1 Apprenant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960"/>
        <w:gridCol w:w="1200"/>
        <w:gridCol w:w="1200"/>
      </w:tblGrid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Exigence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Priorité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Réponse</w:t>
            </w:r>
          </w:p>
        </w:tc>
      </w:tr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Catalogue avec recherche, filtres, recommandations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000000"/>
              </w:rPr>
              <w:t xml:space="preserve">M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Parcours adaptatifs / branching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S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Mobile natif iOS/Android avec mode hors-ligne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000000"/>
              </w:rPr>
              <w:t xml:space="preserve">M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Social learning (commentaires, partage, communautés)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S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Gamification (badges, points, classement)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C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Accessibilité RGAA / WCAG 2.1 AA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000000"/>
              </w:rPr>
              <w:t xml:space="preserve">M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B1E3F"/>
        </w:rPr>
        <w:t xml:space="preserve">3.2 Auteur &amp; contenu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960"/>
        <w:gridCol w:w="1200"/>
        <w:gridCol w:w="1200"/>
      </w:tblGrid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Exigence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Priorité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Réponse</w:t>
            </w:r>
          </w:p>
        </w:tc>
      </w:tr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Outil auteur intégré (création rapide modules)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S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Import SCORM 1.2 / 2004 / xAPI / cmi5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000000"/>
              </w:rPr>
              <w:t xml:space="preserve">M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Vidéo (upload, transcodage, sous-titres auto)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000000"/>
              </w:rPr>
              <w:t xml:space="preserve">M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IA générative (quiz, résumés, traduction)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S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Versioning et workflow de validation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S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B1E3F"/>
        </w:rPr>
        <w:t xml:space="preserve">3.3 Manager &amp; RH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960"/>
        <w:gridCol w:w="1200"/>
        <w:gridCol w:w="1200"/>
      </w:tblGrid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Exigence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Priorité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Réponse</w:t>
            </w:r>
          </w:p>
        </w:tc>
      </w:tr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Tableaux de bord équipe avec relances automatiques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000000"/>
              </w:rPr>
              <w:t xml:space="preserve">M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Plan de développement individuel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S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Cartographie de compétences / skills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S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6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Reporting Qualiopi / OPCO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000000"/>
              </w:rPr>
              <w:t xml:space="preserve">M</w:t>
            </w:r>
          </w:p>
        </w:tc>
        <w:tc>
          <w:tcPr>
            <w:tcW w:type="dxa" w:w="1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B1E3F"/>
        </w:rPr>
        <w:t xml:space="preserve">4. Exigences techniques &amp; sécurité</w:t>
      </w:r>
    </w:p>
    <w:p>
      <w:pPr>
        <w:pStyle w:val="Heading2"/>
        <w:spacing w:after="140" w:before="280"/>
      </w:pPr>
      <w:r>
        <w:rPr>
          <w:b/>
          <w:bCs/>
          <w:color w:val="0B1E3F"/>
        </w:rPr>
        <w:t xml:space="preserve">4.1 Architecture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Hébergement : préciser exigences (UE, France, souveraineté SecNumCloud)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Disponibilité contractuelle (SLA) : 99,5 % / 99,9 %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RTO / RPO en cas d'incident majeur</w:t>
      </w:r>
    </w:p>
    <w:p>
      <w:pPr>
        <w:pStyle w:val="Heading2"/>
        <w:spacing w:after="140" w:before="280"/>
      </w:pPr>
      <w:r>
        <w:rPr>
          <w:b/>
          <w:bCs/>
          <w:color w:val="0B1E3F"/>
        </w:rPr>
        <w:t xml:space="preserve">4.2 Sécurité &amp; conformité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Conformité RGPD documentée, DPA signable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Certifications : ISO 27001, SOC 2 Type II, HDS si applicable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Authentification : SSO SAML 2.0 / OIDC, MFA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Chiffrement at rest et in transit (TLS 1.3)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Tests d'intrusion annuels, bug bounty</w:t>
      </w:r>
    </w:p>
    <w:p>
      <w:pPr>
        <w:pStyle w:val="Heading2"/>
        <w:spacing w:after="140" w:before="280"/>
      </w:pPr>
      <w:r>
        <w:rPr>
          <w:b/>
          <w:bCs/>
          <w:color w:val="0B1E3F"/>
        </w:rPr>
        <w:t xml:space="preserve">4.3 Intégrations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Système</w:t>
            </w:r>
          </w:p>
        </w:tc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Type d'échange</w:t>
            </w:r>
          </w:p>
        </w:tc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Fréquence</w:t>
            </w:r>
          </w:p>
        </w:tc>
      </w:tr>
      <w:t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SIRH (préciser éditeur)</w:t>
            </w:r>
          </w:p>
        </w:tc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API / SFTP</w:t>
            </w:r>
          </w:p>
        </w:tc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Quotidien</w:t>
            </w:r>
          </w:p>
        </w:tc>
      </w:tr>
      <w:t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Annuaire (AD, Azure AD, Okta)</w:t>
            </w:r>
          </w:p>
        </w:tc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SCIM</w:t>
            </w:r>
          </w:p>
        </w:tc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Temps réel</w:t>
            </w:r>
          </w:p>
        </w:tc>
      </w:tr>
      <w:t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Outils collaboration (Teams, Slack)</w:t>
            </w:r>
          </w:p>
        </w:tc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API / Webhook</w:t>
            </w:r>
          </w:p>
        </w:tc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Temps réel</w:t>
            </w:r>
          </w:p>
        </w:tc>
      </w:tr>
      <w:t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BI / Datawarehouse</w:t>
            </w:r>
          </w:p>
        </w:tc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Export xAPI / SQL</w:t>
            </w:r>
          </w:p>
        </w:tc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Quotidien</w:t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B1E3F"/>
        </w:rPr>
        <w:t xml:space="preserve">4.4 Performance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Temps de chargement &lt; 2 s (P95)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Capacité de connexions simultanées attendue : ___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B1E3F"/>
        </w:rPr>
        <w:t xml:space="preserve">5. Accompagnement &amp; contrat</w:t>
      </w:r>
    </w:p>
    <w:p>
      <w:pPr>
        <w:pStyle w:val="Heading2"/>
        <w:spacing w:after="140" w:before="280"/>
      </w:pPr>
      <w:r>
        <w:rPr>
          <w:b/>
          <w:bCs/>
          <w:color w:val="0B1E3F"/>
        </w:rPr>
        <w:t xml:space="preserve">5.1 Implémentation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Méthodologie de déploiement (waterfall / agile)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Chef de projet dédié côté éditeur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Reprise de données depuis LMS existant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Plan de conduite du changement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Support à la communication interne</w:t>
      </w:r>
    </w:p>
    <w:p>
      <w:pPr>
        <w:pStyle w:val="Heading2"/>
        <w:spacing w:after="140" w:before="280"/>
      </w:pPr>
      <w:r>
        <w:rPr>
          <w:b/>
          <w:bCs/>
          <w:color w:val="0B1E3F"/>
        </w:rPr>
        <w:t xml:space="preserve">5.2 Run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Support : horaires, langues, canaux (chat, ticket, téléphone)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Customer Success Manager nommé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Roadmap produit partagée, fréquence des releases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Communauté utilisateurs / user groups</w:t>
      </w:r>
    </w:p>
    <w:p>
      <w:pPr>
        <w:pStyle w:val="Heading2"/>
        <w:spacing w:after="140" w:before="280"/>
      </w:pPr>
      <w:r>
        <w:rPr>
          <w:b/>
          <w:bCs/>
          <w:color w:val="0B1E3F"/>
        </w:rPr>
        <w:t xml:space="preserve">5.3 Modèle économique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Pricing : par utilisateur actif, par utilisateur nommé, illimité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Engagement contractuel (1 an / 3 ans)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Conditions de réversibilité (export données, durée)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Pénalités SLA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B1E3F"/>
        </w:rPr>
        <w:t xml:space="preserve">6. Budget &amp; planning</w:t>
      </w:r>
    </w:p>
    <w:p>
      <w:pPr>
        <w:pStyle w:val="Heading2"/>
        <w:spacing w:after="140" w:before="280"/>
      </w:pPr>
      <w:r>
        <w:rPr>
          <w:b/>
          <w:bCs/>
          <w:color w:val="0B1E3F"/>
        </w:rPr>
        <w:t xml:space="preserve">6.1 Enveloppe budgétaire</w:t>
      </w:r>
    </w:p>
    <w:p>
      <w:pPr>
        <w:spacing w:after="60" w:before="120"/>
      </w:pPr>
      <w:r>
        <w:rPr>
          <w:b/>
          <w:bCs/>
          <w:color w:val="0B1E3F"/>
        </w:rPr>
        <w:t xml:space="preserve">Budget licences annuel cible</w:t>
      </w:r>
    </w:p>
    <w:p>
      <w:pPr>
        <w:pBdr>
          <w:bottom w:val="single" w:color="D1D5DB" w:sz="4" w:space="6"/>
        </w:pBdr>
        <w:spacing w:after="160"/>
      </w:pPr>
      <w:r>
        <w:rPr>
          <w:i/>
          <w:iCs/>
          <w:color w:val="6B7280"/>
        </w:rPr>
        <w:t xml:space="preserve">[ à compléter ]</w:t>
      </w:r>
    </w:p>
    <w:p>
      <w:pPr>
        <w:spacing w:after="60" w:before="120"/>
      </w:pPr>
      <w:r>
        <w:rPr>
          <w:b/>
          <w:bCs/>
          <w:color w:val="0B1E3F"/>
        </w:rPr>
        <w:t xml:space="preserve">Budget setup / implémentation</w:t>
      </w:r>
    </w:p>
    <w:p>
      <w:pPr>
        <w:pBdr>
          <w:bottom w:val="single" w:color="D1D5DB" w:sz="4" w:space="6"/>
        </w:pBdr>
        <w:spacing w:after="160"/>
      </w:pPr>
      <w:r>
        <w:rPr>
          <w:i/>
          <w:iCs/>
          <w:color w:val="6B7280"/>
        </w:rPr>
        <w:t xml:space="preserve">[ à compléter ]</w:t>
      </w:r>
    </w:p>
    <w:p>
      <w:pPr>
        <w:spacing w:after="60" w:before="120"/>
      </w:pPr>
      <w:r>
        <w:rPr>
          <w:b/>
          <w:bCs/>
          <w:color w:val="0B1E3F"/>
        </w:rPr>
        <w:t xml:space="preserve">Budget accompagnement / formation</w:t>
      </w:r>
    </w:p>
    <w:p>
      <w:pPr>
        <w:pBdr>
          <w:bottom w:val="single" w:color="D1D5DB" w:sz="4" w:space="6"/>
        </w:pBdr>
        <w:spacing w:after="160"/>
      </w:pPr>
      <w:r>
        <w:rPr>
          <w:i/>
          <w:iCs/>
          <w:color w:val="6B7280"/>
        </w:rPr>
        <w:t xml:space="preserve">[ à compléter ]</w:t>
      </w:r>
    </w:p>
    <w:p>
      <w:pPr>
        <w:pStyle w:val="Heading2"/>
        <w:spacing w:after="140" w:before="280"/>
      </w:pPr>
      <w:r>
        <w:rPr>
          <w:b/>
          <w:bCs/>
          <w:color w:val="0B1E3F"/>
        </w:rPr>
        <w:t xml:space="preserve">6.2 Calendrier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Jalon</w:t>
            </w:r>
          </w:p>
        </w:tc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B1E3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Date cible</w:t>
            </w:r>
          </w:p>
        </w:tc>
      </w:tr>
      <w:tr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Réponse cahier des charges</w:t>
            </w:r>
          </w:p>
        </w:tc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Soutenances finalistes</w:t>
            </w:r>
          </w:p>
        </w:tc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Décision &amp; contractualisation</w:t>
            </w:r>
          </w:p>
        </w:tc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Kick-off projet</w:t>
            </w:r>
          </w:p>
        </w:tc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Pilote / MVP</w:t>
            </w:r>
          </w:p>
        </w:tc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>Mise en production</w:t>
            </w:r>
          </w:p>
        </w:tc>
        <w:tc>
          <w:tcPr>
            <w:tcW w:type="dxa" w:w="4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0000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B1E3F"/>
        </w:rPr>
        <w:t xml:space="preserve">6.3 Modalités de réponse attendues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Réponse fonctionnelle dans la grille jointe (Excel)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Mémoire technique (max 30 pages)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Devis détaillé sur 3 ans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3 références clients comparables avec contact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Démo personnalisée de 90 minutes max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0B1E3F"/>
        </w:rPr>
        <w:t xml:space="preserve">Annexe — Aller plus loin</w:t>
      </w:r>
    </w:p>
    <w:p>
      <w:pPr>
        <w:spacing w:after="120"/>
      </w:pPr>
      <w:r>
        <w:t xml:space="preserve">Ce modèle est conçu par Activateur Formation, courtier indépendant en formation professionnelle. Nous accompagnons plus de 120 organisations (Club Med, Nexity, Société Générale, M6, Pierre Fabre…) dans leurs projets LMS.</w:t>
      </w:r>
    </w:p>
    <w:p>
      <w:pPr>
        <w:pStyle w:val="Heading3"/>
        <w:spacing w:after="100" w:before="200"/>
      </w:pPr>
      <w:r>
        <w:rPr>
          <w:b/>
          <w:bCs/>
          <w:color w:val="E85A4F"/>
        </w:rPr>
        <w:t xml:space="preserve">Ressources complémentaires gratuites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Grille d'évaluation pondérée (Excel) — lms.activateur-formation.com/ressources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10 questions à poser à un éditeur (PDF) — lms.activateur-formation.com/ressources/grille-10-questions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Observatoire LMS : 14 fiches éditeurs, méthodologie de scoring</w:t>
      </w:r>
    </w:p>
    <w:p>
      <w:pPr>
        <w:pStyle w:val="Heading3"/>
        <w:spacing w:after="100" w:before="200"/>
      </w:pPr>
      <w:r>
        <w:rPr>
          <w:b/>
          <w:bCs/>
          <w:color w:val="E85A4F"/>
        </w:rPr>
        <w:t xml:space="preserve">Besoin d'un cadrage personnalisé ?</w:t>
      </w:r>
    </w:p>
    <w:p>
      <w:pPr>
        <w:spacing w:after="120"/>
      </w:pPr>
      <w:r>
        <w:t xml:space="preserve">Atelier de 2 h offert pour challenger votre cahier des charges, prioriser vos exigences et valider votre short-list. Contact : lms@activateur-formation.com</w:t>
      </w:r>
    </w:p>
    <w:p>
      <w:pPr>
        <w:spacing w:before="600"/>
      </w:pPr>
      <w:r>
        <w:rPr>
          <w:i/>
          <w:iCs/>
          <w:color w:val="6B7280"/>
          <w:sz w:val="16"/>
          <w:szCs w:val="16"/>
        </w:rPr>
        <w:t xml:space="preserve">© Activateur Formation — Tous droits réservés. Modèle libre d'usage interne.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Page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color w:val="6B7280"/>
        <w:sz w:val="16"/>
        <w:szCs w:val="16"/>
      </w:rPr>
      <w:t xml:space="preserve">Cahier des charges LMS</w:t>
    </w:r>
    <w:r>
      <w:rPr>
        <w:color w:val="6B7280"/>
        <w:sz w:val="16"/>
        <w:szCs w:val="16"/>
      </w:rPr>
      <w:t xml:space="preserve">	Activateur 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0B1E3F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0B1E3F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Calibri" w:cs="Calibri" w:eastAsia="Calibri" w:hAnsi="Calibri"/>
      <w:b/>
      <w:bCs/>
      <w:color w:val="E85A4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LMS</dc:title>
  <dc:creator>Activateur Formation</dc:creator>
  <cp:lastModifiedBy>Un-named</cp:lastModifiedBy>
  <cp:revision>1</cp:revision>
  <dcterms:created xsi:type="dcterms:W3CDTF">2026-05-10T06:30:14.969Z</dcterms:created>
  <dcterms:modified xsi:type="dcterms:W3CDTF">2026-05-10T06:30:14.969Z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